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Polityka</w:t>
      </w:r>
      <w:r>
        <w:t xml:space="preserve"> </w:t>
      </w:r>
      <w:r>
        <w:t xml:space="preserve">flotowa</w:t>
      </w:r>
    </w:p>
    <w:p>
      <w:pPr>
        <w:pStyle w:val="Subtitle"/>
      </w:pPr>
      <w:r>
        <w:t xml:space="preserve">Sekcja:</w:t>
      </w:r>
      <w:r>
        <w:t xml:space="preserve"> </w:t>
      </w:r>
      <w:r>
        <w:t xml:space="preserve">kontrola</w:t>
      </w:r>
      <w:r>
        <w:t xml:space="preserve"> </w:t>
      </w:r>
      <w:r>
        <w:t xml:space="preserve">uprawnień</w:t>
      </w:r>
      <w:r>
        <w:t xml:space="preserve"> </w:t>
      </w:r>
      <w:r>
        <w:t xml:space="preserve">kierowców</w:t>
      </w:r>
    </w:p>
    <w:p>
      <w:pPr>
        <w:pStyle w:val="Date"/>
      </w:pPr>
      <w:r>
        <w:t xml:space="preserve">Wersja</w:t>
      </w:r>
      <w:r>
        <w:t xml:space="preserve"> </w:t>
      </w:r>
      <w:r>
        <w:t xml:space="preserve">1.0</w:t>
      </w:r>
    </w:p>
    <w:p>
      <w:pPr>
        <w:pStyle w:val="Heading1"/>
      </w:pPr>
      <w:bookmarkStart w:id="20" w:name="polityka-flotowa"/>
      <w:r>
        <w:t xml:space="preserve">Polityka flotowa</w:t>
      </w:r>
      <w:bookmarkEnd w:id="20"/>
    </w:p>
    <w:p>
      <w:pPr>
        <w:pStyle w:val="Heading2"/>
      </w:pPr>
      <w:bookmarkStart w:id="21" w:name="sekcja-kontrola-uprawnień-kierowców"/>
      <w:r>
        <w:t xml:space="preserve">Sekcja: Kontrola uprawnień kierowców</w:t>
      </w:r>
      <w:bookmarkEnd w:id="21"/>
    </w:p>
    <w:p>
      <w:pPr>
        <w:pStyle w:val="FirstParagraph"/>
      </w:pPr>
      <w:r>
        <w:rPr>
          <w:b/>
        </w:rPr>
        <w:t xml:space="preserve">Wydana przez:</w:t>
      </w:r>
      <w:r>
        <w:t xml:space="preserve"> </w:t>
      </w:r>
      <w:r>
        <w:t xml:space="preserve">[NAZWA FIRMY]</w:t>
      </w:r>
      <w:r>
        <w:br/>
      </w:r>
      <w:r>
        <w:rPr>
          <w:b/>
        </w:rPr>
        <w:t xml:space="preserve">Obowiązuje od:</w:t>
      </w:r>
      <w:r>
        <w:t xml:space="preserve"> </w:t>
      </w:r>
      <w:r>
        <w:t xml:space="preserve">[DATA]</w:t>
      </w:r>
      <w:r>
        <w:br/>
      </w:r>
      <w:r>
        <w:rPr>
          <w:b/>
        </w:rPr>
        <w:t xml:space="preserve">Wersja:</w:t>
      </w:r>
      <w:r>
        <w:t xml:space="preserve"> </w:t>
      </w:r>
      <w:r>
        <w:t xml:space="preserve">1.0</w:t>
      </w:r>
    </w:p>
    <w:p>
      <w:pPr>
        <w:pStyle w:val="Heading2"/>
      </w:pPr>
      <w:bookmarkStart w:id="22" w:name="cel-polityki"/>
      <w:r>
        <w:t xml:space="preserve">§ 1. Cel polityki</w:t>
      </w:r>
      <w:bookmarkEnd w:id="22"/>
    </w:p>
    <w:p>
      <w:pPr>
        <w:pStyle w:val="FirstParagraph"/>
      </w:pPr>
      <w:r>
        <w:t xml:space="preserve">Niniejszy dokument określa zasady weryfikacji uprawnień do prowadzenia pojazdów przez pracowników i współpracowników</w:t>
      </w:r>
      <w:r>
        <w:t xml:space="preserve"> </w:t>
      </w:r>
      <w:r>
        <w:rPr>
          <w:b/>
        </w:rPr>
        <w:t xml:space="preserve">[NAZWA FIRMY]</w:t>
      </w:r>
      <w:r>
        <w:t xml:space="preserve"> </w:t>
      </w:r>
      <w:r>
        <w:t xml:space="preserve">(dalej: „Firma") w celu zapewnienia zgodności z obowiązującymi przepisami prawa, w szczególności:</w:t>
      </w:r>
    </w:p>
    <w:p>
      <w:pPr>
        <w:numPr>
          <w:ilvl w:val="0"/>
          <w:numId w:val="1001"/>
        </w:numPr>
        <w:pStyle w:val="Compact"/>
      </w:pPr>
      <w:r>
        <w:t xml:space="preserve">art. 96 § 1 ustawy z dnia 20 maja 1971 r. — Kodeks wykroczeń,</w:t>
      </w:r>
    </w:p>
    <w:p>
      <w:pPr>
        <w:numPr>
          <w:ilvl w:val="0"/>
          <w:numId w:val="1001"/>
        </w:numPr>
        <w:pStyle w:val="Compact"/>
      </w:pPr>
      <w:r>
        <w:t xml:space="preserve">ustawą z dnia 6 września 2001 r. o transporcie drogowym (jeżeli dotyczy działalności Firmy),</w:t>
      </w:r>
    </w:p>
    <w:p>
      <w:pPr>
        <w:numPr>
          <w:ilvl w:val="0"/>
          <w:numId w:val="1001"/>
        </w:numPr>
        <w:pStyle w:val="Compact"/>
      </w:pPr>
      <w:r>
        <w:t xml:space="preserve">Rozporządzeniem (UE) 2016/679 (RODO).</w:t>
      </w:r>
    </w:p>
    <w:p>
      <w:pPr>
        <w:pStyle w:val="FirstParagraph"/>
      </w:pPr>
      <w:r>
        <w:t xml:space="preserve">Polityka realizuje obowiązek</w:t>
      </w:r>
      <w:r>
        <w:t xml:space="preserve"> </w:t>
      </w:r>
      <w:r>
        <w:rPr>
          <w:b/>
        </w:rPr>
        <w:t xml:space="preserve">należytej staranności</w:t>
      </w:r>
      <w:r>
        <w:t xml:space="preserve"> </w:t>
      </w:r>
      <w:r>
        <w:t xml:space="preserve">Administratora w zakresie kontroli uprawnień kierowców.</w:t>
      </w:r>
    </w:p>
    <w:p>
      <w:pPr>
        <w:pStyle w:val="Heading2"/>
      </w:pPr>
      <w:bookmarkStart w:id="23" w:name="zakres-stosowania"/>
      <w:r>
        <w:t xml:space="preserve">§ 2. Zakres stosowania</w:t>
      </w:r>
      <w:bookmarkEnd w:id="23"/>
    </w:p>
    <w:p>
      <w:pPr>
        <w:pStyle w:val="FirstParagraph"/>
      </w:pPr>
      <w:r>
        <w:t xml:space="preserve">Niniejsza polityka stosuje się do wszystkich osób, których obowiązki obejmują prowadzenie pojazdów służbowych Firmy, w tym: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pracowników</w:t>
      </w:r>
      <w:r>
        <w:t xml:space="preserve"> </w:t>
      </w:r>
      <w:r>
        <w:t xml:space="preserve">zatrudnionych na podstawie umowy o pracę;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osób świadczących usługi</w:t>
      </w:r>
      <w:r>
        <w:t xml:space="preserve"> </w:t>
      </w:r>
      <w:r>
        <w:t xml:space="preserve">na podstawie umowy zlecenia lub umowy B2B (samozatrudnienia);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pracowników agencji pracy tymczasowej</w:t>
      </w:r>
      <w:r>
        <w:t xml:space="preserve"> </w:t>
      </w:r>
      <w:r>
        <w:t xml:space="preserve">skierowanych do Firmy w roli kierowców.</w:t>
      </w:r>
    </w:p>
    <w:p>
      <w:pPr>
        <w:pStyle w:val="Heading2"/>
      </w:pPr>
      <w:bookmarkStart w:id="24" w:name="odpowiedzialność"/>
      <w:r>
        <w:t xml:space="preserve">§ 3. Odpowiedzialność</w:t>
      </w:r>
      <w:bookmarkEnd w:id="24"/>
    </w:p>
    <w:p>
      <w:pPr>
        <w:numPr>
          <w:ilvl w:val="0"/>
          <w:numId w:val="1003"/>
        </w:numPr>
      </w:pPr>
      <w:r>
        <w:t xml:space="preserve">Odpowiedzialność za realizację niniejszej polityki ponosi:</w:t>
      </w:r>
      <w:r>
        <w:t xml:space="preserve"> </w:t>
      </w:r>
      <w:r>
        <w:rPr>
          <w:b/>
        </w:rPr>
        <w:t xml:space="preserve">[STANOWISKO — np. Kierownik Transportu / Fleet Manager / Specjalista ds. HR / Dyspozytor]</w:t>
      </w:r>
      <w:r>
        <w:t xml:space="preserve">.</w:t>
      </w:r>
    </w:p>
    <w:p>
      <w:pPr>
        <w:numPr>
          <w:ilvl w:val="0"/>
          <w:numId w:val="1003"/>
        </w:numPr>
      </w:pPr>
      <w:r>
        <w:t xml:space="preserve">W przypadku braku wyznaczonej osoby odpowiedzialnej, zgodnie z art. 96 § 1 Kodeksu wykroczeń, odpowiedzialność spada bezpośrednio na</w:t>
      </w:r>
      <w:r>
        <w:t xml:space="preserve"> </w:t>
      </w:r>
      <w:r>
        <w:rPr>
          <w:b/>
        </w:rPr>
        <w:t xml:space="preserve">Kierownika Jednostki Dysponującej Pojazdem</w:t>
      </w:r>
      <w:r>
        <w:t xml:space="preserve"> </w:t>
      </w:r>
      <w:r>
        <w:t xml:space="preserve">(w praktyce — Prezesa / Dyrektora / Właściciela Firmy).</w:t>
      </w:r>
    </w:p>
    <w:p>
      <w:pPr>
        <w:numPr>
          <w:ilvl w:val="0"/>
          <w:numId w:val="1003"/>
        </w:numPr>
      </w:pPr>
      <w:r>
        <w:t xml:space="preserve">Każdy kierowca ma obowiązek</w:t>
      </w:r>
      <w:r>
        <w:t xml:space="preserve"> </w:t>
      </w:r>
      <w:r>
        <w:rPr>
          <w:b/>
        </w:rPr>
        <w:t xml:space="preserve">niezwłocznego, pisemnego zgłoszenia</w:t>
      </w:r>
      <w:r>
        <w:t xml:space="preserve"> </w:t>
      </w:r>
      <w:r>
        <w:t xml:space="preserve">Administratorowi utraty uprawnień (w jakiejkolwiek formie — zatrzymanie blankietu, wygaśnięcie kategorii, zakaz prowadzenia pojazdów, cofnięcie) — najpóźniej w dniu roboczym następującym po zdarzeniu.</w:t>
      </w:r>
    </w:p>
    <w:p>
      <w:pPr>
        <w:pStyle w:val="Heading2"/>
      </w:pPr>
      <w:bookmarkStart w:id="25" w:name="częstotliwość-kontroli"/>
      <w:r>
        <w:t xml:space="preserve">§ 4. Częstotliwość kontroli</w:t>
      </w:r>
      <w:bookmarkEnd w:id="25"/>
    </w:p>
    <w:p>
      <w:pPr>
        <w:numPr>
          <w:ilvl w:val="0"/>
          <w:numId w:val="1004"/>
        </w:numPr>
      </w:pPr>
      <w:r>
        <w:rPr>
          <w:b/>
        </w:rPr>
        <w:t xml:space="preserve">Pierwotna weryfikacja</w:t>
      </w:r>
      <w:r>
        <w:t xml:space="preserve"> </w:t>
      </w:r>
      <w:r>
        <w:t xml:space="preserve">uprawnień jest dokonywana przed dopuszczeniem kierowcy do prowadzenia pojazdu Firmy.</w:t>
      </w:r>
    </w:p>
    <w:p>
      <w:pPr>
        <w:numPr>
          <w:ilvl w:val="0"/>
          <w:numId w:val="1004"/>
        </w:numPr>
      </w:pPr>
      <w:r>
        <w:rPr>
          <w:b/>
        </w:rPr>
        <w:t xml:space="preserve">Cykliczna weryfikacja</w:t>
      </w:r>
      <w:r>
        <w:t xml:space="preserve"> </w:t>
      </w:r>
      <w:r>
        <w:t xml:space="preserve">odbywa się z następującą częstotliwością (zaznaczyć właściwe):</w:t>
      </w:r>
    </w:p>
    <w:p>
      <w:pPr>
        <w:numPr>
          <w:ilvl w:val="0"/>
          <w:numId w:val="1000"/>
        </w:numPr>
      </w:pPr>
      <m:oMath>
        <m:r>
          <m:t>□</m:t>
        </m:r>
      </m:oMath>
      <w:r>
        <w:t xml:space="preserve"> </w:t>
      </w:r>
      <w:r>
        <w:t xml:space="preserve">codziennie automatycznie (zalecane dla flot powyżej 5 pojazdów)</w:t>
      </w:r>
      <w:r>
        <w:br/>
      </w:r>
      <m:oMath>
        <m:r>
          <m:t>□</m:t>
        </m:r>
      </m:oMath>
      <w:r>
        <w:t xml:space="preserve"> </w:t>
      </w:r>
      <w:r>
        <w:t xml:space="preserve">co najmniej raz w tygodniu</w:t>
      </w:r>
      <w:r>
        <w:br/>
      </w:r>
      <m:oMath>
        <m:r>
          <m:t>□</m:t>
        </m:r>
      </m:oMath>
      <w:r>
        <w:t xml:space="preserve"> </w:t>
      </w:r>
      <w:r>
        <w:t xml:space="preserve">co najmniej raz na kwartał ręcznie</w:t>
      </w:r>
      <w:r>
        <w:br/>
      </w:r>
      <m:oMath>
        <m:r>
          <m:t>□</m:t>
        </m:r>
      </m:oMath>
      <w:r>
        <w:t xml:space="preserve"> </w:t>
      </w:r>
      <w:r>
        <w:t xml:space="preserve">inna:</w:t>
      </w:r>
      <w:r>
        <w:t xml:space="preserve"> </w:t>
      </w:r>
    </w:p>
    <w:p>
      <w:pPr>
        <w:numPr>
          <w:ilvl w:val="0"/>
          <w:numId w:val="1004"/>
        </w:numPr>
      </w:pPr>
      <w:r>
        <w:rPr>
          <w:b/>
        </w:rPr>
        <w:t xml:space="preserve">Weryfikacja na żądanie</w:t>
      </w:r>
      <w:r>
        <w:t xml:space="preserve"> </w:t>
      </w:r>
      <w:r>
        <w:t xml:space="preserve">jest dokonywana niezwłocznie w przypadku:</w:t>
      </w:r>
    </w:p>
    <w:p>
      <w:pPr>
        <w:numPr>
          <w:ilvl w:val="1"/>
          <w:numId w:val="1005"/>
        </w:numPr>
        <w:pStyle w:val="Compact"/>
      </w:pPr>
      <w:r>
        <w:t xml:space="preserve">kolizji, wypadku lub innego zdarzenia drogowego z udziałem pojazdu Firmy,</w:t>
      </w:r>
    </w:p>
    <w:p>
      <w:pPr>
        <w:numPr>
          <w:ilvl w:val="1"/>
          <w:numId w:val="1005"/>
        </w:numPr>
        <w:pStyle w:val="Compact"/>
      </w:pPr>
      <w:r>
        <w:t xml:space="preserve">otrzymania informacji od kierowcy o zmianie statusu uprawnień,</w:t>
      </w:r>
    </w:p>
    <w:p>
      <w:pPr>
        <w:numPr>
          <w:ilvl w:val="1"/>
          <w:numId w:val="1005"/>
        </w:numPr>
        <w:pStyle w:val="Compact"/>
      </w:pPr>
      <w:r>
        <w:t xml:space="preserve">kontroli zewnętrznej (ITD, Policja, audyt zleceniodawcy),</w:t>
      </w:r>
    </w:p>
    <w:p>
      <w:pPr>
        <w:numPr>
          <w:ilvl w:val="1"/>
          <w:numId w:val="1005"/>
        </w:numPr>
        <w:pStyle w:val="Compact"/>
      </w:pPr>
      <w:r>
        <w:t xml:space="preserve">w każdym innym przypadku uzasadnionym potrzebą weryfikacji.</w:t>
      </w:r>
    </w:p>
    <w:p>
      <w:pPr>
        <w:pStyle w:val="Heading2"/>
      </w:pPr>
      <w:bookmarkStart w:id="26" w:name="sposób-weryfikacji"/>
      <w:r>
        <w:t xml:space="preserve">§ 5. Sposób weryfikacji</w:t>
      </w:r>
      <w:bookmarkEnd w:id="26"/>
    </w:p>
    <w:p>
      <w:pPr>
        <w:numPr>
          <w:ilvl w:val="0"/>
          <w:numId w:val="1006"/>
        </w:numPr>
      </w:pPr>
      <w:r>
        <w:t xml:space="preserve">Weryfikacja uprawnień odbywa się wyłącznie w</w:t>
      </w:r>
      <w:r>
        <w:t xml:space="preserve"> </w:t>
      </w:r>
      <w:r>
        <w:rPr>
          <w:b/>
        </w:rPr>
        <w:t xml:space="preserve">oficjalnej bazie CEPiK</w:t>
      </w:r>
      <w:r>
        <w:t xml:space="preserve"> </w:t>
      </w:r>
      <w:r>
        <w:t xml:space="preserve">(Centralna Ewidencja Pojazdów i Kierowców) prowadzonej przez Ministerstwo Cyfryzacji.</w:t>
      </w:r>
    </w:p>
    <w:p>
      <w:pPr>
        <w:numPr>
          <w:ilvl w:val="0"/>
          <w:numId w:val="1006"/>
        </w:numPr>
      </w:pPr>
      <w:r>
        <w:t xml:space="preserve">Sposób weryfikacji (zaznaczyć właściwe):</w:t>
      </w:r>
    </w:p>
    <w:p>
      <w:pPr>
        <w:numPr>
          <w:ilvl w:val="0"/>
          <w:numId w:val="1000"/>
        </w:numPr>
      </w:pPr>
      <m:oMath>
        <m:r>
          <m:t>□</m:t>
        </m:r>
      </m:oMath>
      <w:r>
        <w:t xml:space="preserve"> </w:t>
      </w:r>
      <w:r>
        <w:t xml:space="preserve">ręcznie, przez portal gov.pl — usługa „Sprawdź uprawnienia kierowcy"</w:t>
      </w:r>
      <w:r>
        <w:br/>
      </w:r>
      <m:oMath>
        <m:r>
          <m:t>□</m:t>
        </m:r>
      </m:oMath>
      <w:r>
        <w:t xml:space="preserve"> </w:t>
      </w:r>
      <w:r>
        <w:t xml:space="preserve">automatycznie, przez narzędzie</w:t>
      </w:r>
      <w:r>
        <w:t xml:space="preserve"> </w:t>
      </w:r>
      <w:r>
        <w:rPr>
          <w:b/>
        </w:rPr>
        <w:t xml:space="preserve">[NAZWA NARZĘDZIA — np. RaportKierowcy.pl]</w:t>
      </w:r>
      <w:r>
        <w:t xml:space="preserve"> </w:t>
      </w:r>
      <w:r>
        <w:t xml:space="preserve">— na podstawie umowy powierzenia przetwarzania danych zawartej zgodnie z art. 28 RODO</w:t>
      </w:r>
    </w:p>
    <w:p>
      <w:pPr>
        <w:numPr>
          <w:ilvl w:val="0"/>
          <w:numId w:val="1006"/>
        </w:numPr>
      </w:pPr>
      <w:r>
        <w:t xml:space="preserve">Każda kontrola jest</w:t>
      </w:r>
      <w:r>
        <w:t xml:space="preserve"> </w:t>
      </w:r>
      <w:r>
        <w:rPr>
          <w:b/>
        </w:rPr>
        <w:t xml:space="preserve">udokumentowana</w:t>
      </w:r>
      <w:r>
        <w:t xml:space="preserve"> </w:t>
      </w:r>
      <w:r>
        <w:t xml:space="preserve">w sposób umożliwiający odtworzenie:</w:t>
      </w:r>
    </w:p>
    <w:p>
      <w:pPr>
        <w:numPr>
          <w:ilvl w:val="1"/>
          <w:numId w:val="1007"/>
        </w:numPr>
        <w:pStyle w:val="Compact"/>
      </w:pPr>
      <w:r>
        <w:t xml:space="preserve">daty i godziny kontroli,</w:t>
      </w:r>
    </w:p>
    <w:p>
      <w:pPr>
        <w:numPr>
          <w:ilvl w:val="1"/>
          <w:numId w:val="1007"/>
        </w:numPr>
        <w:pStyle w:val="Compact"/>
      </w:pPr>
      <w:r>
        <w:t xml:space="preserve">wyniku kontroli (status uprawnień),</w:t>
      </w:r>
    </w:p>
    <w:p>
      <w:pPr>
        <w:numPr>
          <w:ilvl w:val="1"/>
          <w:numId w:val="1007"/>
        </w:numPr>
        <w:pStyle w:val="Compact"/>
      </w:pPr>
      <w:r>
        <w:t xml:space="preserve">osoby przeprowadzającej kontrolę (w przypadku kontroli ręcznej),</w:t>
      </w:r>
    </w:p>
    <w:p>
      <w:pPr>
        <w:numPr>
          <w:ilvl w:val="1"/>
          <w:numId w:val="1007"/>
        </w:numPr>
        <w:pStyle w:val="Compact"/>
      </w:pPr>
      <w:r>
        <w:t xml:space="preserve">identyfikatora źródła (CEPiK).</w:t>
      </w:r>
    </w:p>
    <w:p>
      <w:pPr>
        <w:pStyle w:val="Heading2"/>
      </w:pPr>
      <w:bookmarkStart w:id="27" w:name="postępowanie-w-razie-wykrycia-problemu"/>
      <w:r>
        <w:t xml:space="preserve">§ 6. Postępowanie w razie wykrycia problemu</w:t>
      </w:r>
      <w:bookmarkEnd w:id="27"/>
    </w:p>
    <w:p>
      <w:pPr>
        <w:pStyle w:val="FirstParagraph"/>
      </w:pPr>
      <w:r>
        <w:t xml:space="preserve">W przypadku ustalenia, że kierowca nie posiada ważnych uprawnień do prowadzenia pojazdu, podejmuje się następujące działania w kolejności:</w:t>
      </w:r>
    </w:p>
    <w:p>
      <w:pPr>
        <w:numPr>
          <w:ilvl w:val="0"/>
          <w:numId w:val="1008"/>
        </w:numPr>
      </w:pPr>
      <w:r>
        <w:rPr>
          <w:b/>
        </w:rPr>
        <w:t xml:space="preserve">Natychmiastowe odsunięcie</w:t>
      </w:r>
      <w:r>
        <w:t xml:space="preserve"> </w:t>
      </w:r>
      <w:r>
        <w:t xml:space="preserve">kierowcy od prowadzenia pojazdów służbowych Firmy.</w:t>
      </w:r>
    </w:p>
    <w:p>
      <w:pPr>
        <w:numPr>
          <w:ilvl w:val="0"/>
          <w:numId w:val="1008"/>
        </w:numPr>
      </w:pPr>
      <w:r>
        <w:rPr>
          <w:b/>
        </w:rPr>
        <w:t xml:space="preserve">Sporządzenie notatki służbowej</w:t>
      </w:r>
      <w:r>
        <w:t xml:space="preserve"> </w:t>
      </w:r>
      <w:r>
        <w:t xml:space="preserve">zawierającej:</w:t>
      </w:r>
    </w:p>
    <w:p>
      <w:pPr>
        <w:numPr>
          <w:ilvl w:val="1"/>
          <w:numId w:val="1009"/>
        </w:numPr>
        <w:pStyle w:val="Compact"/>
      </w:pPr>
      <w:r>
        <w:t xml:space="preserve">datę i sposób wykrycia problemu,</w:t>
      </w:r>
    </w:p>
    <w:p>
      <w:pPr>
        <w:numPr>
          <w:ilvl w:val="1"/>
          <w:numId w:val="1009"/>
        </w:numPr>
        <w:pStyle w:val="Compact"/>
      </w:pPr>
      <w:r>
        <w:t xml:space="preserve">źródło informacji (np. „alert z systemu RaportKierowcy.pl z dnia …</w:t>
      </w:r>
      <w:r>
        <w:t xml:space="preserve">“</w:t>
      </w:r>
      <w:r>
        <w:t xml:space="preserve">, „weryfikacja w gov.pl z dnia …</w:t>
      </w:r>
      <w:r>
        <w:t xml:space="preserve">”</w:t>
      </w:r>
      <w:r>
        <w:t xml:space="preserve">),</w:t>
      </w:r>
    </w:p>
    <w:p>
      <w:pPr>
        <w:numPr>
          <w:ilvl w:val="1"/>
          <w:numId w:val="1009"/>
        </w:numPr>
        <w:pStyle w:val="Compact"/>
      </w:pPr>
      <w:r>
        <w:t xml:space="preserve">opis stwierdzonego problemu (np. „zatrzymany blankiet od dnia …</w:t>
      </w:r>
      <w:r>
        <w:t xml:space="preserve">“</w:t>
      </w:r>
      <w:r>
        <w:t xml:space="preserve">, „kategoria C wygasła w dniu …</w:t>
      </w:r>
      <w:r>
        <w:t xml:space="preserve">”</w:t>
      </w:r>
      <w:r>
        <w:t xml:space="preserve">),</w:t>
      </w:r>
    </w:p>
    <w:p>
      <w:pPr>
        <w:numPr>
          <w:ilvl w:val="1"/>
          <w:numId w:val="1009"/>
        </w:numPr>
        <w:pStyle w:val="Compact"/>
      </w:pPr>
      <w:r>
        <w:t xml:space="preserve">podjęte działania,</w:t>
      </w:r>
    </w:p>
    <w:p>
      <w:pPr>
        <w:numPr>
          <w:ilvl w:val="1"/>
          <w:numId w:val="1009"/>
        </w:numPr>
        <w:pStyle w:val="Compact"/>
      </w:pPr>
      <w:r>
        <w:t xml:space="preserve">podpis osoby sporządzającej.</w:t>
      </w:r>
    </w:p>
    <w:p>
      <w:pPr>
        <w:numPr>
          <w:ilvl w:val="0"/>
          <w:numId w:val="1008"/>
        </w:numPr>
      </w:pPr>
      <w:r>
        <w:rPr>
          <w:b/>
        </w:rPr>
        <w:t xml:space="preserve">Wyznaczenie kierowcy terminu</w:t>
      </w:r>
      <w:r>
        <w:t xml:space="preserve"> </w:t>
      </w:r>
      <w:r>
        <w:t xml:space="preserve">na uregulowanie sytuacji — w zależności od rodzaju problemu, zwykle 7–14 dni.</w:t>
      </w:r>
    </w:p>
    <w:p>
      <w:pPr>
        <w:numPr>
          <w:ilvl w:val="0"/>
          <w:numId w:val="1008"/>
        </w:numPr>
      </w:pPr>
      <w:r>
        <w:t xml:space="preserve">W przypadku</w:t>
      </w:r>
      <w:r>
        <w:t xml:space="preserve"> </w:t>
      </w:r>
      <w:r>
        <w:rPr>
          <w:b/>
        </w:rPr>
        <w:t xml:space="preserve">braku uregulowania</w:t>
      </w:r>
      <w:r>
        <w:t xml:space="preserve"> </w:t>
      </w:r>
      <w:r>
        <w:t xml:space="preserve">sytuacji w wyznaczonym terminie — rozważenie konsekwencji pracowniczych zgodnie z regulaminem pracy lub rozwiązanie umowy o pracę z winy pracownika.</w:t>
      </w:r>
    </w:p>
    <w:p>
      <w:pPr>
        <w:numPr>
          <w:ilvl w:val="0"/>
          <w:numId w:val="1008"/>
        </w:numPr>
      </w:pPr>
      <w:r>
        <w:t xml:space="preserve">W przypadku</w:t>
      </w:r>
      <w:r>
        <w:t xml:space="preserve"> </w:t>
      </w:r>
      <w:r>
        <w:rPr>
          <w:b/>
        </w:rPr>
        <w:t xml:space="preserve">powtarzających się przypadków</w:t>
      </w:r>
      <w:r>
        <w:t xml:space="preserve"> </w:t>
      </w:r>
      <w:r>
        <w:t xml:space="preserve">zatajenia utraty uprawnień — natychmiastowe konsekwencje dyscyplinarne, w skrajnych przypadkach rozwiązanie umowy bez wypowiedzenia.</w:t>
      </w:r>
    </w:p>
    <w:p>
      <w:pPr>
        <w:pStyle w:val="Heading2"/>
      </w:pPr>
      <w:bookmarkStart w:id="28" w:name="dokumentacja-i-jej-przechowywanie"/>
      <w:r>
        <w:t xml:space="preserve">§ 7. Dokumentacja i jej przechowywanie</w:t>
      </w:r>
      <w:bookmarkEnd w:id="28"/>
    </w:p>
    <w:p>
      <w:pPr>
        <w:numPr>
          <w:ilvl w:val="0"/>
          <w:numId w:val="1010"/>
        </w:numPr>
      </w:pPr>
      <w:r>
        <w:t xml:space="preserve">Dokumentacja kontroli uprawnień jest przechowywana przez okres co najmniej</w:t>
      </w:r>
      <w:r>
        <w:t xml:space="preserve"> </w:t>
      </w:r>
      <w:r>
        <w:rPr>
          <w:b/>
        </w:rPr>
        <w:t xml:space="preserve">3 lat</w:t>
      </w:r>
      <w:r>
        <w:t xml:space="preserve"> </w:t>
      </w:r>
      <w:r>
        <w:t xml:space="preserve">od daty kontroli — w celu obrony Administratora przed ewentualnymi roszczeniami oraz na potrzeby kontroli organów (ITD, UODO).</w:t>
      </w:r>
    </w:p>
    <w:p>
      <w:pPr>
        <w:numPr>
          <w:ilvl w:val="0"/>
          <w:numId w:val="1010"/>
        </w:numPr>
      </w:pPr>
      <w:r>
        <w:t xml:space="preserve">Dokumentacja udostępniana jest:</w:t>
      </w:r>
    </w:p>
    <w:p>
      <w:pPr>
        <w:numPr>
          <w:ilvl w:val="1"/>
          <w:numId w:val="1011"/>
        </w:numPr>
        <w:pStyle w:val="Compact"/>
      </w:pPr>
      <w:r>
        <w:t xml:space="preserve">organom kontrolnym (ITD, Policja) na podstawie obowiązujących przepisów,</w:t>
      </w:r>
    </w:p>
    <w:p>
      <w:pPr>
        <w:numPr>
          <w:ilvl w:val="1"/>
          <w:numId w:val="1011"/>
        </w:numPr>
        <w:pStyle w:val="Compact"/>
      </w:pPr>
      <w:r>
        <w:t xml:space="preserve">na żądanie Prezesa UODO w ramach postępowania kontrolnego,</w:t>
      </w:r>
    </w:p>
    <w:p>
      <w:pPr>
        <w:numPr>
          <w:ilvl w:val="1"/>
          <w:numId w:val="1011"/>
        </w:numPr>
        <w:pStyle w:val="Compact"/>
      </w:pPr>
      <w:r>
        <w:t xml:space="preserve">zleceniodawcom Firmy — w ramach audytów wynikających z umów handlowych.</w:t>
      </w:r>
    </w:p>
    <w:p>
      <w:pPr>
        <w:pStyle w:val="Heading2"/>
      </w:pPr>
      <w:bookmarkStart w:id="29" w:name="podstawa-prawna-przetwarzania-danych"/>
      <w:r>
        <w:t xml:space="preserve">§ 8. Podstawa prawna przetwarzania danych</w:t>
      </w:r>
      <w:bookmarkEnd w:id="29"/>
    </w:p>
    <w:p>
      <w:pPr>
        <w:pStyle w:val="FirstParagraph"/>
      </w:pPr>
      <w:r>
        <w:t xml:space="preserve">Dane osobowe kierowców przetwarzane w ramach kontroli uprawnień są przetwarzane na podstawie</w:t>
      </w:r>
      <w:r>
        <w:t xml:space="preserve"> </w:t>
      </w:r>
      <w:r>
        <w:rPr>
          <w:b/>
        </w:rPr>
        <w:t xml:space="preserve">art. 6 ust. 1 lit. f RODO</w:t>
      </w:r>
      <w:r>
        <w:t xml:space="preserve"> </w:t>
      </w:r>
      <w:r>
        <w:t xml:space="preserve">(prawnie uzasadniony interes Administratora). Pracownik jest informowany o przetwarzaniu danych zgodnie z art. 13 RODO przy zawieraniu umowy lub w drodze aneksu (klauzula informacyjna — odrębny dokument).</w:t>
      </w:r>
    </w:p>
    <w:p>
      <w:pPr>
        <w:pStyle w:val="Heading2"/>
      </w:pPr>
      <w:bookmarkStart w:id="30" w:name="zmiany-polityki"/>
      <w:r>
        <w:t xml:space="preserve">§ 9. Zmiany polityki</w:t>
      </w:r>
      <w:bookmarkEnd w:id="30"/>
    </w:p>
    <w:p>
      <w:pPr>
        <w:numPr>
          <w:ilvl w:val="0"/>
          <w:numId w:val="1012"/>
        </w:numPr>
      </w:pPr>
      <w:r>
        <w:t xml:space="preserve">Polityka wchodzi w życie z dniem</w:t>
      </w:r>
      <w:r>
        <w:t xml:space="preserve"> </w:t>
      </w:r>
      <w:r>
        <w:rPr>
          <w:b/>
        </w:rPr>
        <w:t xml:space="preserve">[DATA]</w:t>
      </w:r>
      <w:r>
        <w:t xml:space="preserve">.</w:t>
      </w:r>
    </w:p>
    <w:p>
      <w:pPr>
        <w:numPr>
          <w:ilvl w:val="0"/>
          <w:numId w:val="1012"/>
        </w:numPr>
      </w:pPr>
      <w:r>
        <w:t xml:space="preserve">Zmiana niniejszej polityki wymaga formy pisemnej, zatwierdzonej przez</w:t>
      </w:r>
      <w:r>
        <w:t xml:space="preserve"> </w:t>
      </w:r>
      <w:r>
        <w:rPr>
          <w:b/>
        </w:rPr>
        <w:t xml:space="preserve">[STANOWISKO osoby decyzyjnej]</w:t>
      </w:r>
      <w:r>
        <w:t xml:space="preserve">.</w:t>
      </w:r>
    </w:p>
    <w:p>
      <w:pPr>
        <w:numPr>
          <w:ilvl w:val="0"/>
          <w:numId w:val="1012"/>
        </w:numPr>
      </w:pPr>
      <w:r>
        <w:t xml:space="preserve">Pracownicy są informowani o zmianach polityki w formie pisemnej z co najmniej 14-dniowym wyprzedzeniem.</w:t>
      </w:r>
    </w:p>
    <w:p>
      <w:pPr>
        <w:numPr>
          <w:ilvl w:val="0"/>
          <w:numId w:val="1012"/>
        </w:numPr>
      </w:pPr>
      <w:r>
        <w:t xml:space="preserve">Polityka jest dostępna do wglądu wszystkich pracowników w</w:t>
      </w:r>
      <w:r>
        <w:t xml:space="preserve"> </w:t>
      </w:r>
      <w:r>
        <w:rPr>
          <w:b/>
        </w:rPr>
        <w:t xml:space="preserve">[MIEJSCE — np. intranet / siedziba HR]</w:t>
      </w:r>
      <w:r>
        <w:t xml:space="preserve">.</w:t>
      </w:r>
    </w:p>
    <w:p>
      <w:pPr>
        <w:pStyle w:val="Heading2"/>
      </w:pPr>
      <w:bookmarkStart w:id="31" w:name="postanowienia-końcowe"/>
      <w:r>
        <w:t xml:space="preserve">§ 10. Postanowienia końcowe</w:t>
      </w:r>
      <w:bookmarkEnd w:id="31"/>
    </w:p>
    <w:p>
      <w:pPr>
        <w:numPr>
          <w:ilvl w:val="0"/>
          <w:numId w:val="1013"/>
        </w:numPr>
      </w:pPr>
      <w:r>
        <w:t xml:space="preserve">W zakresie nieuregulowanym niniejszą polityką zastosowanie mają przepisy powszechnie obowiązującego prawa, w szczególności RODO, Kodeksu wykroczeń i ustawy o transporcie drogowym.</w:t>
      </w:r>
    </w:p>
    <w:p>
      <w:pPr>
        <w:numPr>
          <w:ilvl w:val="0"/>
          <w:numId w:val="1013"/>
        </w:numPr>
      </w:pPr>
      <w:r>
        <w:t xml:space="preserve">Niniejsza polityka stanowi integralną część wewnętrznych regulacji Firmy dotyczących bezpieczeństwa i zgodności z prawem.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Zatwierdzenie:</w:t>
      </w:r>
    </w:p>
    <w:p>
      <w:pPr>
        <w:pStyle w:val="BodyText"/>
      </w:pPr>
      <w:r>
        <w:t xml:space="preserve">Data zatwierdzenia:</w:t>
      </w:r>
      <w:r>
        <w:t xml:space="preserve"> </w:t>
      </w:r>
    </w:p>
    <w:p>
      <w:pPr>
        <w:pStyle w:val="BodyText"/>
      </w:pPr>
      <w:r>
        <w:t xml:space="preserve">Imię i nazwisko zatwierdzającego:</w:t>
      </w:r>
      <w:r>
        <w:t xml:space="preserve"> </w:t>
      </w:r>
    </w:p>
    <w:p>
      <w:pPr>
        <w:pStyle w:val="BodyText"/>
      </w:pPr>
      <w:r>
        <w:t xml:space="preserve">Stanowisko:</w:t>
      </w:r>
      <w:r>
        <w:t xml:space="preserve"> </w:t>
      </w:r>
    </w:p>
    <w:p>
      <w:pPr>
        <w:pStyle w:val="BodyText"/>
      </w:pPr>
      <w:r>
        <w:t xml:space="preserve">Podpis:</w:t>
      </w:r>
      <w:r>
        <w:t xml:space="preserve"> 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</w:rPr>
        <w:t xml:space="preserve">Niniejszy wzór ma charakter wyłącznie informacyjny i poglądowy. Nie stanowi porady prawnej. Przed użyciem zalecamy konsultację z Inspektorem Ochrony Danych lub prawnikiem specjalizującym się w ochronie danych osobowych. Administrator wzoru — ULTIMO SOLUTIO, właściciel serwisu RaportKierowcy.pl — nie ponosi odpowiedzialności za skutki wykorzystania niniejszego wzoru bez weryfikacji jego adekwatności do konkretnej sytuacji firmy.</w:t>
      </w:r>
    </w:p>
    <w:p>
      <w:pPr>
        <w:pStyle w:val="BodyText"/>
      </w:pPr>
      <w:r>
        <w:rPr>
          <w:i/>
        </w:rPr>
        <w:t xml:space="preserve">© 2026 RaportKierowcy.pl — wzory dokumentów RODO dla branży transportowej. Wersja 1.0, dokument bezpłatny, dostępny pod adresem https://raportkierowcy.pl/wzory-dokumentow-rodo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721">
    <w:nsid w:val="71315dca"/>
    <w:multiLevelType w:val="multilevel"/>
    <w:lvl w:ilvl="0">
      <w:start w:val="1"/>
      <w:numFmt w:val="lowerLetter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)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)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)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47261bad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7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Polityka flotowa</dc:title>
  <dc:creator/>
  <cp:keywords/>
  <dcterms:created xsi:type="dcterms:W3CDTF">2026-05-15T14:25:12Z</dcterms:created>
  <dcterms:modified xsi:type="dcterms:W3CDTF">2026-05-15T14:25:12Z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Wersja 1.0</vt:lpwstr>
  </property>
  <property fmtid="{D5CDD505-2E9C-101B-9397-08002B2CF9AE}" pid="3" name="subtitle">
    <vt:lpwstr>Sekcja: kontrola uprawnień kierowców</vt:lpwstr>
  </property>
</Properties>
</file>